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vertragstext-struktur"/>
    <w:p>
      <w:pPr>
        <w:pStyle w:val="Heading1"/>
      </w:pPr>
      <w:r>
        <w:t xml:space="preserve">Contextsjabloon: Contracttekst &amp; Structuur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Standaardclausules, DPA-modules, escalatiepaden. Zodat door AI gegenereerde contracten standhouden bij juridische toetsing.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Governance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Halfjaarlijks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Legal / Operations</w:t>
      </w:r>
    </w:p>
    <w:p>
      <w:r>
        <w:pict>
          <v:rect style="width:0;height:1.5pt" o:hralign="center" o:hrstd="t" o:hr="t"/>
        </w:pict>
      </w:r>
    </w:p>
    <w:bookmarkStart w:id="9" w:name="vertragstypen"/>
    <w:p>
      <w:pPr>
        <w:pStyle w:val="Heading2"/>
      </w:pPr>
      <w:r>
        <w:t xml:space="preserve">1. Contracttypen</w:t>
      </w:r>
    </w:p>
    <w:p>
      <w:pPr>
        <w:pStyle w:val="FirstParagraph"/>
      </w:pPr>
      <w:r>
        <w:t xml:space="preserve">NDA, service, verwerkersovereenkomst, licentie.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standardklauseln"/>
    <w:p>
      <w:pPr>
        <w:pStyle w:val="Heading2"/>
      </w:pPr>
      <w:r>
        <w:t xml:space="preserve">2. Standaardclausules</w:t>
      </w:r>
    </w:p>
    <w:p>
      <w:pPr>
        <w:pStyle w:val="FirstParagraph"/>
      </w:pPr>
      <w:r>
        <w:t xml:space="preserve">Preambule, prestatie, vergoeding, looptijd, opzegging.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haftung-und-gewährleistung"/>
    <w:p>
      <w:pPr>
        <w:pStyle w:val="Heading2"/>
      </w:pPr>
      <w:r>
        <w:t xml:space="preserve">3. Aansprakelijkheid en garantie</w:t>
      </w:r>
    </w:p>
    <w:p>
      <w:pPr>
        <w:pStyle w:val="FirstParagraph"/>
      </w:pPr>
      <w:r>
        <w:t xml:space="preserve">Beperkingen, caps, force majeure.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datenschutz-module"/>
    <w:p>
      <w:pPr>
        <w:pStyle w:val="Heading2"/>
      </w:pPr>
      <w:r>
        <w:t xml:space="preserve">4. Privacymodules</w:t>
      </w:r>
    </w:p>
    <w:p>
      <w:pPr>
        <w:pStyle w:val="FirstParagraph"/>
      </w:pPr>
      <w:r>
        <w:t xml:space="preserve">Verwerkersovereenkomst/DPA-bouwstenen, subverwerkers, verwijzing naar TOM's.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ip-und-vertraulichkeit"/>
    <w:p>
      <w:pPr>
        <w:pStyle w:val="Heading2"/>
      </w:pPr>
      <w:r>
        <w:t xml:space="preserve">5. IP en vertrouwelijkheid</w:t>
      </w:r>
    </w:p>
    <w:p>
      <w:pPr>
        <w:pStyle w:val="FirstParagraph"/>
      </w:pPr>
      <w:r>
        <w:t xml:space="preserve">Gebruiksrechten, NDA-bepalingen.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eskalation-und-gerichtsstand"/>
    <w:p>
      <w:pPr>
        <w:pStyle w:val="Heading2"/>
      </w:pPr>
      <w:r>
        <w:t xml:space="preserve">6. Escalatie en bevoegde rechter</w:t>
      </w:r>
    </w:p>
    <w:p>
      <w:pPr>
        <w:pStyle w:val="FirstParagraph"/>
      </w:pPr>
      <w:r>
        <w:t xml:space="preserve">Geschillenbeslechting, bevoegde rechter, toepasselijk recht.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anhänge-und-slas"/>
    <w:p>
      <w:pPr>
        <w:pStyle w:val="Heading2"/>
      </w:pPr>
      <w:r>
        <w:t xml:space="preserve">7. Bijlagen en SLA's</w:t>
      </w:r>
    </w:p>
    <w:p>
      <w:pPr>
        <w:pStyle w:val="FirstParagraph"/>
      </w:pPr>
      <w:r>
        <w:t xml:space="preserve">Standaard-servicelevels, bijlagestructuur.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freigabe-prozess"/>
    <w:p>
      <w:pPr>
        <w:pStyle w:val="Heading2"/>
      </w:pPr>
      <w:r>
        <w:t xml:space="preserve">8. Goedkeuringsproces</w:t>
      </w:r>
    </w:p>
    <w:p>
      <w:pPr>
        <w:pStyle w:val="FirstParagraph"/>
      </w:pPr>
      <w:r>
        <w:t xml:space="preserve">Wie toetst, wie tekent, drempels voor Legal.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bedrijfsjurist en helpt me een gestructureerd contracttekst-template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template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Contracttypen</w:t>
      </w:r>
      <w:r>
        <w:br/>
      </w:r>
      <w:r>
        <w:rPr>
          <w:rStyle w:val="VerbatimChar"/>
        </w:rPr>
        <w:t xml:space="preserve">2. Standaardclausules</w:t>
      </w:r>
      <w:r>
        <w:br/>
      </w:r>
      <w:r>
        <w:rPr>
          <w:rStyle w:val="VerbatimChar"/>
        </w:rPr>
        <w:t xml:space="preserve">3. Aansprakelijkheid en garantie</w:t>
      </w:r>
      <w:r>
        <w:br/>
      </w:r>
      <w:r>
        <w:rPr>
          <w:rStyle w:val="VerbatimChar"/>
        </w:rPr>
        <w:t xml:space="preserve">4. Privacymodules</w:t>
      </w:r>
      <w:r>
        <w:br/>
      </w:r>
      <w:r>
        <w:rPr>
          <w:rStyle w:val="VerbatimChar"/>
        </w:rPr>
        <w:t xml:space="preserve">5. IP en vertrouwelijkheid</w:t>
      </w:r>
      <w:r>
        <w:br/>
      </w:r>
      <w:r>
        <w:rPr>
          <w:rStyle w:val="VerbatimChar"/>
        </w:rPr>
        <w:t xml:space="preserve">6. Escalatie en bevoegde rechter</w:t>
      </w:r>
      <w:r>
        <w:br/>
      </w:r>
      <w:r>
        <w:rPr>
          <w:rStyle w:val="VerbatimChar"/>
        </w:rPr>
        <w:t xml:space="preserve">7. Bijlagen en SLA's</w:t>
      </w:r>
      <w:r>
        <w:br/>
      </w:r>
      <w:r>
        <w:rPr>
          <w:rStyle w:val="VerbatimChar"/>
        </w:rPr>
        <w:t xml:space="preserve">8. Goedkeuringsproces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jullie standaardcontracten, modelteksten en richtlijnen van de advocaat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Markdown. Clausules als blockquotes. Let op: geen juridisch advies.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ons contracttekst-template (bijgevoegd). Gebruik het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Concrete clausule-aanbeveling</w:t>
      </w:r>
      <w:r>
        <w:br/>
      </w:r>
      <w:r>
        <w:rPr>
          <w:rStyle w:val="VerbatimChar"/>
        </w:rPr>
        <w:t xml:space="preserve">2. Verwijzing naar de relevante sectie</w:t>
      </w:r>
      <w:r>
        <w:br/>
      </w:r>
      <w:r>
        <w:rPr>
          <w:rStyle w:val="VerbatimChar"/>
        </w:rPr>
        <w:t xml:space="preserve">3. Bij afwijking: escalatieadvies richting Legal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Je geeft geen juridisch advies. Bij risico's een duidelijke aanbeveling voor juridische toetsing.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