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governance-kommunikation"/>
    <w:p>
      <w:pPr>
        <w:pStyle w:val="Heading1"/>
      </w:pPr>
      <w:r>
        <w:t xml:space="preserve">Contextsjabloon: Governance &amp; Communicatie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Hoe jullie organisatie beslist en communiceert. Comités, beslissingsbevoegdheden en rapportagecascades.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Halfjaarlijks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Directie / COO</w:t>
      </w:r>
    </w:p>
    <w:p>
      <w:r>
        <w:pict>
          <v:rect style="width:0;height:1.5pt" o:hralign="center" o:hrstd="t" o:hr="t"/>
        </w:pict>
      </w:r>
    </w:p>
    <w:bookmarkStart w:id="9" w:name="governance-modell"/>
    <w:p>
      <w:pPr>
        <w:pStyle w:val="Heading2"/>
      </w:pPr>
      <w:r>
        <w:t xml:space="preserve">1. Governancemodel</w:t>
      </w:r>
    </w:p>
    <w:p>
      <w:pPr>
        <w:pStyle w:val="FirstParagraph"/>
      </w:pPr>
      <w:r>
        <w:t xml:space="preserve">Welke gremia, welke rollen, welke rapportagelijnen.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entscheidungs-rechte"/>
    <w:p>
      <w:pPr>
        <w:pStyle w:val="Heading2"/>
      </w:pPr>
      <w:r>
        <w:t xml:space="preserve">2. Beslisrechten</w:t>
      </w:r>
    </w:p>
    <w:p>
      <w:pPr>
        <w:pStyle w:val="FirstParagraph"/>
      </w:pPr>
      <w:r>
        <w:t xml:space="preserve">RACI voor strategische en operationele beslissingen.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meeting-architektur"/>
    <w:p>
      <w:pPr>
        <w:pStyle w:val="Heading2"/>
      </w:pPr>
      <w:r>
        <w:t xml:space="preserve">3. Meetingarchitectuur</w:t>
      </w:r>
    </w:p>
    <w:p>
      <w:pPr>
        <w:pStyle w:val="FirstParagraph"/>
      </w:pPr>
      <w:r>
        <w:t xml:space="preserve">Standaardmeetings met doel, deelnemers, frequentie, output.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kommunikations-kaskaden"/>
    <w:p>
      <w:pPr>
        <w:pStyle w:val="Heading2"/>
      </w:pPr>
      <w:r>
        <w:t xml:space="preserve">4. Communicatiecascades</w:t>
      </w:r>
    </w:p>
    <w:p>
      <w:pPr>
        <w:pStyle w:val="FirstParagraph"/>
      </w:pPr>
      <w:r>
        <w:t xml:space="preserve">Hoe informatie van boven naar beneden en andersom stroomt.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eskalations-pfade"/>
    <w:p>
      <w:pPr>
        <w:pStyle w:val="Heading2"/>
      </w:pPr>
      <w:r>
        <w:t xml:space="preserve">5. Escalatiepaden</w:t>
      </w:r>
    </w:p>
    <w:p>
      <w:pPr>
        <w:pStyle w:val="FirstParagraph"/>
      </w:pPr>
      <w:r>
        <w:t xml:space="preserve">Wanneer wordt wat hoe geescaleerd.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reporting-standards"/>
    <w:p>
      <w:pPr>
        <w:pStyle w:val="Heading2"/>
      </w:pPr>
      <w:r>
        <w:t xml:space="preserve">6. Rapportagestandaarden</w:t>
      </w:r>
    </w:p>
    <w:p>
      <w:pPr>
        <w:pStyle w:val="FirstParagraph"/>
      </w:pPr>
      <w:r>
        <w:t xml:space="preserve">Format, frequentie, ontvangers per rapporttype.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krisen-kommunikation"/>
    <w:p>
      <w:pPr>
        <w:pStyle w:val="Heading2"/>
      </w:pPr>
      <w:r>
        <w:t xml:space="preserve">7. Crisiscommunicatie</w:t>
      </w:r>
    </w:p>
    <w:p>
      <w:pPr>
        <w:pStyle w:val="FirstParagraph"/>
      </w:pPr>
      <w:r>
        <w:t xml:space="preserve">Wat gebeurt er bij een crisis, wie communiceert met wie.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transparenz-regeln"/>
    <w:p>
      <w:pPr>
        <w:pStyle w:val="Heading2"/>
      </w:pPr>
      <w:r>
        <w:t xml:space="preserve">8. Transparantieregels</w:t>
      </w:r>
    </w:p>
    <w:p>
      <w:pPr>
        <w:pStyle w:val="FirstParagraph"/>
      </w:pPr>
      <w:r>
        <w:t xml:space="preserve">Wat wordt breed gedeeld, wat blijft vertrouwelijk.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COO en helpt me een gestructureerd governance- en communicatiedocument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Governancemodel (gremia, rollen)</w:t>
      </w:r>
      <w:r>
        <w:br/>
      </w:r>
      <w:r>
        <w:rPr>
          <w:rStyle w:val="VerbatimChar"/>
        </w:rPr>
        <w:t xml:space="preserve">2. Beslisbevoegdheden (RACI)</w:t>
      </w:r>
      <w:r>
        <w:br/>
      </w:r>
      <w:r>
        <w:rPr>
          <w:rStyle w:val="VerbatimChar"/>
        </w:rPr>
        <w:t xml:space="preserve">3. Meetingarchitectuur</w:t>
      </w:r>
      <w:r>
        <w:br/>
      </w:r>
      <w:r>
        <w:rPr>
          <w:rStyle w:val="VerbatimChar"/>
        </w:rPr>
        <w:t xml:space="preserve">4. Communicatiecascades</w:t>
      </w:r>
      <w:r>
        <w:br/>
      </w:r>
      <w:r>
        <w:rPr>
          <w:rStyle w:val="VerbatimChar"/>
        </w:rPr>
        <w:t xml:space="preserve">5. Escalatiepaden</w:t>
      </w:r>
      <w:r>
        <w:br/>
      </w:r>
      <w:r>
        <w:rPr>
          <w:rStyle w:val="VerbatimChar"/>
        </w:rPr>
        <w:t xml:space="preserve">6. Rapportagestandaarden</w:t>
      </w:r>
      <w:r>
        <w:br/>
      </w:r>
      <w:r>
        <w:rPr>
          <w:rStyle w:val="VerbatimChar"/>
        </w:rPr>
        <w:t xml:space="preserve">7. Crisiscommunicatie</w:t>
      </w:r>
      <w:r>
        <w:br/>
      </w:r>
      <w:r>
        <w:rPr>
          <w:rStyle w:val="VerbatimChar"/>
        </w:rPr>
        <w:t xml:space="preserve">8. Transparantieregels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jullie org chart, meetinglijsten en bestaande communicatiepraktijken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RACI-tabellen.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governance- en communicatiedocument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Wie beslist, wie wordt geïnformeerd, wie escaleert</w:t>
      </w:r>
      <w:r>
        <w:br/>
      </w:r>
      <w:r>
        <w:rPr>
          <w:rStyle w:val="VerbatimChar"/>
        </w:rPr>
        <w:t xml:space="preserve">2. Verwijzing naar de relevante sectie</w:t>
      </w:r>
      <w:r>
        <w:br/>
      </w:r>
      <w:r>
        <w:rPr>
          <w:rStyle w:val="VerbatimChar"/>
        </w:rPr>
        <w:t xml:space="preserve">3. Welke rapportagestandaard geldt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